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B4" w:rsidRDefault="00847A0B">
      <w:pPr>
        <w:jc w:val="center"/>
        <w:rPr>
          <w:rFonts w:ascii="宋体" w:eastAsia="宋体" w:hAnsi="宋体"/>
          <w:sz w:val="28"/>
          <w:szCs w:val="28"/>
        </w:rPr>
      </w:pPr>
      <w:r w:rsidRPr="00847A0B">
        <w:rPr>
          <w:rFonts w:ascii="宋体" w:eastAsia="宋体" w:hAnsi="宋体" w:hint="eastAsia"/>
          <w:sz w:val="28"/>
          <w:szCs w:val="28"/>
        </w:rPr>
        <w:t>软件工程</w:t>
      </w:r>
      <w:r w:rsidR="00C91977">
        <w:rPr>
          <w:rFonts w:ascii="宋体" w:eastAsia="宋体" w:hAnsi="宋体" w:hint="eastAsia"/>
          <w:sz w:val="28"/>
          <w:szCs w:val="28"/>
        </w:rPr>
        <w:t>专业白皮书</w:t>
      </w:r>
    </w:p>
    <w:p w:rsidR="00E016B4" w:rsidRDefault="00E016B4">
      <w:pPr>
        <w:jc w:val="left"/>
        <w:rPr>
          <w:rFonts w:ascii="宋体" w:eastAsia="宋体" w:hAnsi="宋体"/>
          <w:sz w:val="28"/>
          <w:szCs w:val="28"/>
        </w:rPr>
      </w:pPr>
    </w:p>
    <w:p w:rsidR="00E016B4" w:rsidRDefault="00C9197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专业定位</w:t>
      </w:r>
    </w:p>
    <w:p w:rsidR="00E016B4" w:rsidRDefault="00136705">
      <w:pPr>
        <w:ind w:firstLineChars="200" w:firstLine="420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 w:hint="eastAsia"/>
          <w:color w:val="000000" w:themeColor="text1"/>
          <w:szCs w:val="21"/>
        </w:rPr>
        <w:t>软件工程</w:t>
      </w:r>
      <w:r w:rsidR="00C91977">
        <w:rPr>
          <w:rFonts w:ascii="宋体" w:eastAsia="宋体" w:hAnsi="宋体" w:cs="Calibri" w:hint="eastAsia"/>
          <w:color w:val="000000" w:themeColor="text1"/>
          <w:szCs w:val="21"/>
        </w:rPr>
        <w:t>专业于2004年首次招生，以高素质的应用型和复合型人才为培养目标，</w:t>
      </w:r>
      <w:r w:rsidR="00015507">
        <w:rPr>
          <w:rFonts w:ascii="宋体" w:eastAsia="宋体" w:hAnsi="宋体" w:cs="Calibri" w:hint="eastAsia"/>
          <w:color w:val="000000" w:themeColor="text1"/>
          <w:szCs w:val="21"/>
        </w:rPr>
        <w:t>通过了IEET CAC认证，是</w:t>
      </w:r>
      <w:r w:rsidR="00DC5A80" w:rsidRPr="00DC5A80">
        <w:rPr>
          <w:rFonts w:ascii="宋体" w:eastAsia="宋体" w:hAnsi="宋体" w:cs="Calibri" w:hint="eastAsia"/>
          <w:color w:val="000000" w:themeColor="text1"/>
          <w:szCs w:val="21"/>
        </w:rPr>
        <w:t>广东省高等学校特色专业</w:t>
      </w:r>
      <w:r w:rsidR="00DC5A80">
        <w:rPr>
          <w:rFonts w:ascii="宋体" w:eastAsia="宋体" w:hAnsi="宋体" w:cs="Calibri" w:hint="eastAsia"/>
          <w:color w:val="000000" w:themeColor="text1"/>
          <w:szCs w:val="21"/>
        </w:rPr>
        <w:t>、</w:t>
      </w:r>
      <w:r w:rsidR="00D834F6">
        <w:rPr>
          <w:rFonts w:ascii="宋体" w:eastAsia="宋体" w:hAnsi="宋体" w:cs="Calibri" w:hint="eastAsia"/>
          <w:color w:val="000000" w:themeColor="text1"/>
          <w:szCs w:val="21"/>
        </w:rPr>
        <w:t>广东省级一流专业建设点</w:t>
      </w:r>
      <w:r w:rsidR="00C91977">
        <w:rPr>
          <w:rFonts w:ascii="宋体" w:eastAsia="宋体" w:hAnsi="宋体" w:cs="Calibri" w:hint="eastAsia"/>
          <w:color w:val="000000" w:themeColor="text1"/>
          <w:szCs w:val="21"/>
        </w:rPr>
        <w:t>。</w:t>
      </w:r>
    </w:p>
    <w:p w:rsidR="00E016B4" w:rsidRDefault="00E5398B" w:rsidP="00F90DD7">
      <w:pPr>
        <w:ind w:firstLineChars="200" w:firstLine="420"/>
        <w:rPr>
          <w:rFonts w:ascii="宋体" w:eastAsia="宋体" w:hAnsi="宋体"/>
        </w:rPr>
      </w:pPr>
      <w:r w:rsidRPr="00E5398B">
        <w:rPr>
          <w:rFonts w:ascii="宋体" w:eastAsia="宋体" w:hAnsi="宋体" w:hint="eastAsia"/>
        </w:rPr>
        <w:t>本专业按照计算机学院建设“新工科”特色学院的需求</w:t>
      </w:r>
      <w:r w:rsidR="007010A9" w:rsidRPr="007010A9">
        <w:rPr>
          <w:rFonts w:ascii="宋体" w:eastAsia="宋体" w:hAnsi="宋体" w:hint="eastAsia"/>
        </w:rPr>
        <w:t>，</w:t>
      </w:r>
      <w:r w:rsidR="002F6262">
        <w:rPr>
          <w:rFonts w:ascii="宋体" w:eastAsia="宋体" w:hAnsi="宋体" w:hint="eastAsia"/>
        </w:rPr>
        <w:t>以</w:t>
      </w:r>
      <w:r w:rsidR="002F6262">
        <w:rPr>
          <w:rFonts w:ascii="宋体" w:eastAsia="宋体" w:hAnsi="宋体" w:hint="eastAsia"/>
        </w:rPr>
        <w:t>软件工程技术</w:t>
      </w:r>
      <w:r w:rsidR="002F6262">
        <w:rPr>
          <w:rFonts w:ascii="宋体" w:eastAsia="宋体" w:hAnsi="宋体" w:hint="eastAsia"/>
        </w:rPr>
        <w:t>和大数据技术为主要培养方向，</w:t>
      </w:r>
      <w:r w:rsidR="00F90DD7" w:rsidRPr="00B266D9">
        <w:rPr>
          <w:rFonts w:ascii="宋体" w:eastAsia="宋体" w:hAnsi="宋体" w:hint="eastAsia"/>
        </w:rPr>
        <w:t>立足</w:t>
      </w:r>
      <w:r w:rsidR="00F90DD7">
        <w:rPr>
          <w:rFonts w:ascii="宋体" w:eastAsia="宋体" w:hAnsi="宋体" w:hint="eastAsia"/>
        </w:rPr>
        <w:t>于</w:t>
      </w:r>
      <w:r w:rsidR="00B266D9" w:rsidRPr="00B266D9">
        <w:rPr>
          <w:rFonts w:ascii="宋体" w:eastAsia="宋体" w:hAnsi="宋体" w:hint="eastAsia"/>
        </w:rPr>
        <w:t>粤港澳大湾区</w:t>
      </w:r>
      <w:r w:rsidR="00F90DD7">
        <w:rPr>
          <w:rFonts w:ascii="宋体" w:eastAsia="宋体" w:hAnsi="宋体" w:hint="eastAsia"/>
        </w:rPr>
        <w:t>，</w:t>
      </w:r>
      <w:r w:rsidR="00A11D69">
        <w:rPr>
          <w:rFonts w:ascii="宋体" w:eastAsia="宋体" w:hAnsi="宋体" w:hint="eastAsia"/>
        </w:rPr>
        <w:t>以</w:t>
      </w:r>
      <w:r w:rsidR="00B266D9" w:rsidRPr="00B266D9">
        <w:rPr>
          <w:rFonts w:ascii="宋体" w:eastAsia="宋体" w:hAnsi="宋体" w:hint="eastAsia"/>
        </w:rPr>
        <w:t>区域经济和社会发展服务</w:t>
      </w:r>
      <w:r w:rsidR="00A11D69">
        <w:rPr>
          <w:rFonts w:ascii="宋体" w:eastAsia="宋体" w:hAnsi="宋体" w:hint="eastAsia"/>
        </w:rPr>
        <w:t>为宗旨，</w:t>
      </w:r>
      <w:r w:rsidR="00B266D9" w:rsidRPr="00B266D9">
        <w:rPr>
          <w:rFonts w:ascii="宋体" w:eastAsia="宋体" w:hAnsi="宋体" w:hint="eastAsia"/>
        </w:rPr>
        <w:t>以软件核心知识为基础，以实际软件开发能力培养为目标，培养职业道德素质高，富有执行力和创新能力，具有软件工程素养和国际视野，适应业界软件人才要求，能承担软件需求、设计、开发、测试、运维、项目管理工作，以及从事</w:t>
      </w:r>
      <w:r w:rsidR="006369A8">
        <w:rPr>
          <w:rFonts w:ascii="宋体" w:eastAsia="宋体" w:hAnsi="宋体" w:hint="eastAsia"/>
        </w:rPr>
        <w:t>软件工程</w:t>
      </w:r>
      <w:r w:rsidR="006369A8">
        <w:rPr>
          <w:rFonts w:ascii="宋体" w:eastAsia="宋体" w:hAnsi="宋体" w:hint="eastAsia"/>
        </w:rPr>
        <w:t>及</w:t>
      </w:r>
      <w:r w:rsidR="006369A8">
        <w:rPr>
          <w:rFonts w:ascii="宋体" w:eastAsia="宋体" w:hAnsi="宋体" w:hint="eastAsia"/>
        </w:rPr>
        <w:t>大数据</w:t>
      </w:r>
      <w:r w:rsidR="00A11D69">
        <w:rPr>
          <w:rFonts w:ascii="宋体" w:eastAsia="宋体" w:hAnsi="宋体" w:hint="eastAsia"/>
        </w:rPr>
        <w:t>等新兴领域工作的复合型和应用型</w:t>
      </w:r>
      <w:r w:rsidR="00B266D9" w:rsidRPr="00B266D9">
        <w:rPr>
          <w:rFonts w:ascii="宋体" w:eastAsia="宋体" w:hAnsi="宋体" w:hint="eastAsia"/>
        </w:rPr>
        <w:t>计算机软件专业人才。</w:t>
      </w:r>
    </w:p>
    <w:p w:rsidR="00E016B4" w:rsidRDefault="00C9197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培养目标</w:t>
      </w:r>
    </w:p>
    <w:p w:rsidR="00E016B4" w:rsidRDefault="00C91977">
      <w:pPr>
        <w:ind w:firstLineChars="200" w:firstLine="42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 w:hint="eastAsia"/>
          <w:color w:val="000000" w:themeColor="text1"/>
          <w:szCs w:val="21"/>
        </w:rPr>
        <w:t>计算机学院的教育目标：</w:t>
      </w:r>
    </w:p>
    <w:p w:rsidR="00E016B4" w:rsidRDefault="00C91977">
      <w:pPr>
        <w:pStyle w:val="a8"/>
        <w:numPr>
          <w:ilvl w:val="0"/>
          <w:numId w:val="2"/>
        </w:numPr>
        <w:ind w:firstLineChars="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/>
          <w:b/>
          <w:color w:val="000000" w:themeColor="text1"/>
          <w:szCs w:val="21"/>
        </w:rPr>
        <w:t>良好的社会认知与人文关怀，正确的工作伦理与态度</w:t>
      </w:r>
      <w:r>
        <w:rPr>
          <w:rFonts w:ascii="宋体" w:eastAsia="宋体" w:hAnsi="宋体" w:cs="Calibri" w:hint="eastAsia"/>
          <w:b/>
          <w:color w:val="000000" w:themeColor="text1"/>
          <w:szCs w:val="21"/>
        </w:rPr>
        <w:t>：</w:t>
      </w:r>
      <w:r>
        <w:rPr>
          <w:rFonts w:ascii="宋体" w:eastAsia="宋体" w:hAnsi="宋体" w:cs="Calibri"/>
          <w:color w:val="000000" w:themeColor="text1"/>
          <w:szCs w:val="21"/>
        </w:rPr>
        <w:t>德智体美劳全面发展，志向高远，体魄强健，心境恬美，知晓基本工作伦理，赋予人文关怀，诚实和守信。</w:t>
      </w:r>
    </w:p>
    <w:p w:rsidR="00E016B4" w:rsidRDefault="00C91977">
      <w:pPr>
        <w:pStyle w:val="a8"/>
        <w:numPr>
          <w:ilvl w:val="0"/>
          <w:numId w:val="2"/>
        </w:numPr>
        <w:ind w:firstLineChars="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/>
          <w:b/>
          <w:color w:val="000000" w:themeColor="text1"/>
          <w:szCs w:val="21"/>
        </w:rPr>
        <w:t>良好的学科基础和专业知识、工程素养</w:t>
      </w:r>
      <w:r>
        <w:rPr>
          <w:rFonts w:ascii="宋体" w:eastAsia="宋体" w:hAnsi="宋体" w:cs="Calibri" w:hint="eastAsia"/>
          <w:b/>
          <w:color w:val="000000" w:themeColor="text1"/>
          <w:szCs w:val="21"/>
        </w:rPr>
        <w:t>：</w:t>
      </w:r>
      <w:r>
        <w:rPr>
          <w:rFonts w:ascii="宋体" w:eastAsia="宋体" w:hAnsi="宋体" w:cs="Calibri"/>
          <w:color w:val="000000" w:themeColor="text1"/>
          <w:szCs w:val="21"/>
        </w:rPr>
        <w:t>基本的数理思维和逻辑分析能力和</w:t>
      </w:r>
      <w:r>
        <w:rPr>
          <w:rFonts w:ascii="宋体" w:eastAsia="宋体" w:hAnsi="宋体" w:cs="Calibri"/>
          <w:color w:val="000000" w:themeColor="text1"/>
        </w:rPr>
        <w:t>应对就业所需专业知识与技能。</w:t>
      </w:r>
    </w:p>
    <w:p w:rsidR="00E016B4" w:rsidRDefault="00C91977">
      <w:pPr>
        <w:pStyle w:val="a8"/>
        <w:numPr>
          <w:ilvl w:val="0"/>
          <w:numId w:val="2"/>
        </w:numPr>
        <w:tabs>
          <w:tab w:val="left" w:pos="425"/>
        </w:tabs>
        <w:ind w:firstLineChars="0"/>
        <w:jc w:val="left"/>
        <w:rPr>
          <w:rFonts w:ascii="宋体" w:eastAsia="宋体" w:hAnsi="宋体" w:cs="Calibri"/>
          <w:color w:val="000000" w:themeColor="text1"/>
          <w:szCs w:val="21"/>
        </w:rPr>
      </w:pPr>
      <w:bookmarkStart w:id="0" w:name="OLE_LINK2"/>
      <w:r>
        <w:rPr>
          <w:rFonts w:ascii="宋体" w:eastAsia="宋体" w:hAnsi="宋体" w:cs="Calibri"/>
          <w:b/>
          <w:color w:val="000000" w:themeColor="text1"/>
          <w:szCs w:val="21"/>
        </w:rPr>
        <w:t>科学分析与解决问题的</w:t>
      </w:r>
      <w:bookmarkEnd w:id="0"/>
      <w:r>
        <w:rPr>
          <w:rFonts w:ascii="宋体" w:eastAsia="宋体" w:hAnsi="宋体" w:cs="Calibri"/>
          <w:b/>
          <w:color w:val="000000" w:themeColor="text1"/>
          <w:szCs w:val="21"/>
        </w:rPr>
        <w:t>思维观</w:t>
      </w:r>
      <w:r>
        <w:rPr>
          <w:rFonts w:ascii="宋体" w:eastAsia="宋体" w:hAnsi="宋体" w:cs="Calibri" w:hint="eastAsia"/>
          <w:b/>
          <w:color w:val="000000" w:themeColor="text1"/>
          <w:szCs w:val="21"/>
        </w:rPr>
        <w:t>：</w:t>
      </w:r>
      <w:r>
        <w:rPr>
          <w:rFonts w:ascii="宋体" w:eastAsia="宋体" w:hAnsi="宋体" w:cs="Calibri"/>
          <w:color w:val="000000" w:themeColor="text1"/>
          <w:szCs w:val="21"/>
        </w:rPr>
        <w:t>客观与公正地思考问题，科学地分解和处理问题，反复验证并分析前因后果，不断改进求解，精益求精。</w:t>
      </w:r>
    </w:p>
    <w:p w:rsidR="00E016B4" w:rsidRDefault="00C91977">
      <w:pPr>
        <w:pStyle w:val="a8"/>
        <w:numPr>
          <w:ilvl w:val="0"/>
          <w:numId w:val="2"/>
        </w:numPr>
        <w:ind w:firstLineChars="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/>
          <w:b/>
          <w:color w:val="000000" w:themeColor="text1"/>
          <w:szCs w:val="21"/>
        </w:rPr>
        <w:t>自我学习与提升的热忱与动力，创新意识</w:t>
      </w:r>
      <w:r>
        <w:rPr>
          <w:rFonts w:ascii="宋体" w:eastAsia="宋体" w:hAnsi="宋体" w:cs="Calibri" w:hint="eastAsia"/>
          <w:b/>
          <w:color w:val="000000" w:themeColor="text1"/>
          <w:szCs w:val="21"/>
        </w:rPr>
        <w:t>：</w:t>
      </w:r>
      <w:r>
        <w:rPr>
          <w:rFonts w:ascii="宋体" w:eastAsia="宋体" w:hAnsi="宋体" w:cs="Calibri"/>
          <w:color w:val="000000" w:themeColor="text1"/>
          <w:szCs w:val="21"/>
        </w:rPr>
        <w:t>主动学习的兴趣与能力，自我更新知识、追求新技术的习惯与升级能力，接受困难与挑战，探索与创新。</w:t>
      </w:r>
    </w:p>
    <w:p w:rsidR="00E016B4" w:rsidRDefault="00C91977">
      <w:pPr>
        <w:pStyle w:val="a8"/>
        <w:numPr>
          <w:ilvl w:val="0"/>
          <w:numId w:val="2"/>
        </w:numPr>
        <w:ind w:firstLineChars="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/>
          <w:b/>
          <w:color w:val="000000" w:themeColor="text1"/>
          <w:szCs w:val="21"/>
        </w:rPr>
        <w:t>互动与合作精神</w:t>
      </w:r>
      <w:r>
        <w:rPr>
          <w:rFonts w:ascii="宋体" w:eastAsia="宋体" w:hAnsi="宋体" w:cs="Calibri" w:hint="eastAsia"/>
          <w:b/>
          <w:color w:val="000000" w:themeColor="text1"/>
          <w:szCs w:val="21"/>
        </w:rPr>
        <w:t>：</w:t>
      </w:r>
      <w:r>
        <w:rPr>
          <w:rFonts w:ascii="宋体" w:eastAsia="宋体" w:hAnsi="宋体" w:cs="Calibri"/>
          <w:color w:val="000000" w:themeColor="text1"/>
          <w:szCs w:val="21"/>
        </w:rPr>
        <w:t>自行获取国内外文化与专业相关的产业信息，对外沟通及团队合作的能力。</w:t>
      </w:r>
    </w:p>
    <w:p w:rsidR="00E016B4" w:rsidRDefault="00E016B4">
      <w:pPr>
        <w:pStyle w:val="a8"/>
        <w:ind w:left="842" w:firstLineChars="0" w:firstLine="0"/>
        <w:jc w:val="left"/>
        <w:rPr>
          <w:rFonts w:ascii="宋体" w:eastAsia="宋体" w:hAnsi="宋体" w:cs="Calibri"/>
          <w:color w:val="000000" w:themeColor="text1"/>
          <w:szCs w:val="21"/>
        </w:rPr>
      </w:pPr>
    </w:p>
    <w:p w:rsidR="00E016B4" w:rsidRDefault="006C4B08" w:rsidP="00F56A23">
      <w:pPr>
        <w:ind w:firstLineChars="200" w:firstLine="420"/>
        <w:jc w:val="left"/>
        <w:rPr>
          <w:rFonts w:ascii="宋体" w:eastAsia="宋体" w:hAnsi="宋体"/>
          <w:sz w:val="28"/>
          <w:szCs w:val="28"/>
        </w:rPr>
      </w:pPr>
      <w:bookmarkStart w:id="1" w:name="OLE_LINK1"/>
      <w:r w:rsidRPr="006C4B08">
        <w:rPr>
          <w:rFonts w:ascii="宋体" w:eastAsia="宋体" w:hAnsi="宋体" w:cs="Calibri" w:hint="eastAsia"/>
          <w:color w:val="000000" w:themeColor="text1"/>
          <w:szCs w:val="21"/>
        </w:rPr>
        <w:t>本专业坚持立德树人的教育理念，倡导爱国主义、科学态度、创新意识、工匠精神、守法自觉、以及契约、保密、安全、服务、合作等良好行为规范。发挥软件学科产教融合的优势，以国家及地区经济社会和行业发展对专业人才需求为导向，培养致力于祖国事业发展的建设者；以社会主义核心价值观为引领，培养具备良好品德修养、浓厚社会责任感、遵纪守法、服务于祖国建设的接班人；以工程教育为依托，培养能够适应信息科技发展的复合型、应用型</w:t>
      </w:r>
      <w:r w:rsidR="00BB6DC9" w:rsidRPr="00B266D9">
        <w:rPr>
          <w:rFonts w:ascii="宋体" w:eastAsia="宋体" w:hAnsi="宋体" w:hint="eastAsia"/>
        </w:rPr>
        <w:t>、工程型</w:t>
      </w:r>
      <w:r w:rsidRPr="006C4B08">
        <w:rPr>
          <w:rFonts w:ascii="宋体" w:eastAsia="宋体" w:hAnsi="宋体" w:cs="Calibri" w:hint="eastAsia"/>
          <w:color w:val="000000" w:themeColor="text1"/>
          <w:szCs w:val="21"/>
        </w:rPr>
        <w:t>软件人才。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本专业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设置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有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软件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工程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技术和大数据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技术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两个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大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专业方向</w:t>
      </w:r>
      <w:bookmarkEnd w:id="1"/>
      <w:r w:rsidR="00AB2E30">
        <w:rPr>
          <w:rFonts w:ascii="宋体" w:eastAsia="宋体" w:hAnsi="宋体" w:cs="Calibri" w:hint="eastAsia"/>
          <w:color w:val="000000" w:themeColor="text1"/>
          <w:szCs w:val="21"/>
        </w:rPr>
        <w:t>，就业领域包括但不限于软件</w:t>
      </w:r>
      <w:r w:rsidR="00F72E3A">
        <w:rPr>
          <w:rFonts w:ascii="宋体" w:eastAsia="宋体" w:hAnsi="宋体" w:cs="Calibri" w:hint="eastAsia"/>
          <w:color w:val="000000" w:themeColor="text1"/>
          <w:szCs w:val="21"/>
        </w:rPr>
        <w:t>工程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的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需求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调研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、分析、设计、编码、测试、维护、营销售后服务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、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软件生产管理工作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以及</w:t>
      </w:r>
      <w:r w:rsidR="00AB2E30" w:rsidRPr="00AB2E30">
        <w:rPr>
          <w:rFonts w:ascii="宋体" w:eastAsia="宋体" w:hAnsi="宋体" w:cs="Calibri" w:hint="eastAsia"/>
          <w:color w:val="000000" w:themeColor="text1"/>
          <w:szCs w:val="21"/>
        </w:rPr>
        <w:t>大数据处理、大数据可视化、大数据系统运维、商务数据分析及智能开发</w:t>
      </w:r>
      <w:r w:rsidR="00AB2E30">
        <w:rPr>
          <w:rFonts w:ascii="宋体" w:eastAsia="宋体" w:hAnsi="宋体" w:cs="Calibri" w:hint="eastAsia"/>
          <w:color w:val="000000" w:themeColor="text1"/>
          <w:szCs w:val="21"/>
        </w:rPr>
        <w:t>等</w:t>
      </w:r>
      <w:r w:rsidR="00C91977">
        <w:rPr>
          <w:rFonts w:ascii="宋体" w:eastAsia="宋体" w:hAnsi="宋体" w:cs="Calibri" w:hint="eastAsia"/>
          <w:color w:val="000000" w:themeColor="text1"/>
          <w:szCs w:val="21"/>
        </w:rPr>
        <w:t>。</w:t>
      </w:r>
    </w:p>
    <w:p w:rsidR="00E016B4" w:rsidRDefault="00C9197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培养规格</w:t>
      </w:r>
    </w:p>
    <w:p w:rsidR="00E016B4" w:rsidRDefault="00C91977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3.1 学制：学制4年，学习期限3-7年；</w:t>
      </w:r>
    </w:p>
    <w:p w:rsidR="00E016B4" w:rsidRDefault="00C91977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3.2 毕业学分：162 +4学分；</w:t>
      </w:r>
    </w:p>
    <w:p w:rsidR="00E016B4" w:rsidRDefault="00C91977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3.3 授予学位：工学学士；</w:t>
      </w:r>
    </w:p>
    <w:p w:rsidR="00E016B4" w:rsidRDefault="00C91977">
      <w:pPr>
        <w:ind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3.4 毕业要求：</w:t>
      </w:r>
    </w:p>
    <w:p w:rsidR="00E016B4" w:rsidRDefault="00C91977">
      <w:pPr>
        <w:ind w:firstLine="420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t>具有正确的世界观、人生观与价值观，自觉践行社会主义核心价值观；具有良好的法</w:t>
      </w:r>
      <w:r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lastRenderedPageBreak/>
        <w:t>制意识、道德修养、人文素养、工程素养与终身学习的意识；具备良好的敬业精神、协作精神、创新意识和良好的国际视野。</w:t>
      </w:r>
      <w:r>
        <w:rPr>
          <w:rFonts w:ascii="宋体" w:eastAsia="宋体" w:hAnsi="宋体" w:cs="Arial"/>
          <w:color w:val="262626"/>
          <w:szCs w:val="21"/>
          <w:shd w:val="clear" w:color="auto" w:fill="FFFFFF"/>
        </w:rPr>
        <w:t>使学生能够系统深入地掌握</w:t>
      </w:r>
      <w:r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t>计算机</w:t>
      </w:r>
      <w:r w:rsidR="00BB6DC9"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t>软件</w:t>
      </w:r>
      <w:r>
        <w:rPr>
          <w:rFonts w:ascii="宋体" w:eastAsia="宋体" w:hAnsi="宋体" w:cs="Arial"/>
          <w:color w:val="262626"/>
          <w:szCs w:val="21"/>
          <w:shd w:val="clear" w:color="auto" w:fill="FFFFFF"/>
        </w:rPr>
        <w:t>相关的基础理论、专业知识和技能，能胜任</w:t>
      </w:r>
      <w:r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t>计算机</w:t>
      </w:r>
      <w:r w:rsidR="007D78D9"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t>软件</w:t>
      </w:r>
      <w:r>
        <w:rPr>
          <w:rFonts w:ascii="宋体" w:eastAsia="宋体" w:hAnsi="宋体" w:cs="Arial"/>
          <w:color w:val="262626"/>
          <w:szCs w:val="21"/>
          <w:shd w:val="clear" w:color="auto" w:fill="FFFFFF"/>
        </w:rPr>
        <w:t>系统</w:t>
      </w:r>
      <w:r w:rsidR="007D78D9">
        <w:rPr>
          <w:rFonts w:ascii="宋体" w:eastAsia="宋体" w:hAnsi="宋体" w:cs="Arial"/>
          <w:color w:val="262626"/>
          <w:szCs w:val="21"/>
          <w:shd w:val="clear" w:color="auto" w:fill="FFFFFF"/>
        </w:rPr>
        <w:t>的分析、</w:t>
      </w:r>
      <w:r>
        <w:rPr>
          <w:rFonts w:ascii="宋体" w:eastAsia="宋体" w:hAnsi="宋体" w:cs="Arial"/>
          <w:color w:val="262626"/>
          <w:szCs w:val="21"/>
          <w:shd w:val="clear" w:color="auto" w:fill="FFFFFF"/>
        </w:rPr>
        <w:t>设计、开发与应用等工作。具体包括以下几个方面</w:t>
      </w:r>
      <w:r>
        <w:rPr>
          <w:rFonts w:ascii="宋体" w:eastAsia="宋体" w:hAnsi="宋体" w:cs="Arial" w:hint="eastAsia"/>
          <w:color w:val="262626"/>
          <w:szCs w:val="21"/>
          <w:shd w:val="clear" w:color="auto" w:fill="FFFFFF"/>
        </w:rPr>
        <w:t>：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数学、科学、工程知识的应用及创新。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设计与执行实验，处理及解析相关数据。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实际使用专业所需技术、工具及平台。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设计、开发、集成及应用计算机软件。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项目管理（含成本分析）、沟通及团队合作。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发掘、分析、应用研究成果，应对复杂、综合性工程问题。</w:t>
      </w:r>
    </w:p>
    <w:p w:rsidR="007D78D9" w:rsidRPr="007D78D9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color w:val="000000" w:themeColor="text1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了解专业新技术、关心产业动态，持续学习及自我提升。</w:t>
      </w:r>
    </w:p>
    <w:p w:rsidR="00E016B4" w:rsidRDefault="007D78D9" w:rsidP="007D78D9">
      <w:pPr>
        <w:numPr>
          <w:ilvl w:val="0"/>
          <w:numId w:val="3"/>
        </w:numPr>
        <w:jc w:val="left"/>
        <w:rPr>
          <w:rFonts w:ascii="宋体" w:eastAsia="宋体" w:hAnsi="宋体" w:cs="宋体"/>
          <w:szCs w:val="21"/>
        </w:rPr>
      </w:pPr>
      <w:r w:rsidRPr="007D78D9">
        <w:rPr>
          <w:rFonts w:ascii="宋体" w:eastAsia="宋体" w:hAnsi="宋体" w:cs="宋体" w:hint="eastAsia"/>
          <w:color w:val="000000" w:themeColor="text1"/>
          <w:szCs w:val="21"/>
        </w:rPr>
        <w:t>理解及遵守专业伦理，认知社会责任及尊重多元观点。</w:t>
      </w:r>
    </w:p>
    <w:p w:rsidR="00E016B4" w:rsidRDefault="00C9197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课程体系</w:t>
      </w:r>
    </w:p>
    <w:p w:rsidR="00E016B4" w:rsidRDefault="00C91977">
      <w:pPr>
        <w:ind w:left="42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 w:hint="eastAsia"/>
          <w:color w:val="000000" w:themeColor="text1"/>
          <w:szCs w:val="21"/>
        </w:rPr>
        <w:t>4</w:t>
      </w:r>
      <w:r>
        <w:rPr>
          <w:rFonts w:ascii="宋体" w:eastAsia="宋体" w:hAnsi="宋体" w:cs="Calibri"/>
          <w:color w:val="000000" w:themeColor="text1"/>
          <w:szCs w:val="21"/>
        </w:rPr>
        <w:t xml:space="preserve">.1 </w:t>
      </w:r>
      <w:r>
        <w:rPr>
          <w:rFonts w:ascii="宋体" w:eastAsia="宋体" w:hAnsi="宋体" w:cs="Calibri" w:hint="eastAsia"/>
          <w:color w:val="000000" w:themeColor="text1"/>
          <w:szCs w:val="21"/>
        </w:rPr>
        <w:t>课程结构</w:t>
      </w:r>
    </w:p>
    <w:tbl>
      <w:tblPr>
        <w:tblStyle w:val="a7"/>
        <w:tblW w:w="7570" w:type="dxa"/>
        <w:tblInd w:w="404" w:type="dxa"/>
        <w:tblLayout w:type="fixed"/>
        <w:tblLook w:val="04A0" w:firstRow="1" w:lastRow="0" w:firstColumn="1" w:lastColumn="0" w:noHBand="0" w:noVBand="1"/>
      </w:tblPr>
      <w:tblGrid>
        <w:gridCol w:w="1007"/>
        <w:gridCol w:w="1375"/>
        <w:gridCol w:w="950"/>
        <w:gridCol w:w="1025"/>
        <w:gridCol w:w="988"/>
        <w:gridCol w:w="1050"/>
        <w:gridCol w:w="1175"/>
      </w:tblGrid>
      <w:tr w:rsidR="00E016B4">
        <w:tc>
          <w:tcPr>
            <w:tcW w:w="2382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016B4" w:rsidRDefault="00C91977">
            <w:pPr>
              <w:ind w:firstLineChars="1000" w:firstLine="1800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学分</w:t>
            </w:r>
          </w:p>
          <w:p w:rsidR="00E016B4" w:rsidRDefault="00C91977">
            <w:pPr>
              <w:ind w:firstLineChars="49" w:firstLine="88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课群及模块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必修学分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选修学分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理论学分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实践学分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016B4" w:rsidRDefault="00C91977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总学分中该类学分占比</w:t>
            </w:r>
          </w:p>
        </w:tc>
      </w:tr>
      <w:tr w:rsidR="00E016B4">
        <w:tc>
          <w:tcPr>
            <w:tcW w:w="1007" w:type="dxa"/>
            <w:vMerge w:val="restart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</w:p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通识教育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通识必修</w:t>
            </w:r>
          </w:p>
        </w:tc>
        <w:tc>
          <w:tcPr>
            <w:tcW w:w="950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20.5</w:t>
            </w:r>
          </w:p>
        </w:tc>
        <w:tc>
          <w:tcPr>
            <w:tcW w:w="1050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8.5</w:t>
            </w:r>
          </w:p>
        </w:tc>
        <w:tc>
          <w:tcPr>
            <w:tcW w:w="1175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17.90%</w:t>
            </w:r>
          </w:p>
        </w:tc>
      </w:tr>
      <w:tr w:rsidR="00E016B4">
        <w:trPr>
          <w:trHeight w:val="299"/>
        </w:trPr>
        <w:tc>
          <w:tcPr>
            <w:tcW w:w="1007" w:type="dxa"/>
            <w:vMerge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通识选修</w:t>
            </w:r>
          </w:p>
        </w:tc>
        <w:tc>
          <w:tcPr>
            <w:tcW w:w="950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8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6.17%</w:t>
            </w:r>
          </w:p>
        </w:tc>
      </w:tr>
      <w:tr w:rsidR="00E016B4">
        <w:tc>
          <w:tcPr>
            <w:tcW w:w="1007" w:type="dxa"/>
            <w:vMerge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素质拓展</w:t>
            </w:r>
          </w:p>
        </w:tc>
        <w:tc>
          <w:tcPr>
            <w:tcW w:w="950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88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 xml:space="preserve">--- </w:t>
            </w:r>
          </w:p>
        </w:tc>
      </w:tr>
      <w:tr w:rsidR="00E016B4">
        <w:tc>
          <w:tcPr>
            <w:tcW w:w="1007" w:type="dxa"/>
            <w:vMerge w:val="restart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</w:p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学科专业教育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学科基础</w:t>
            </w:r>
          </w:p>
        </w:tc>
        <w:tc>
          <w:tcPr>
            <w:tcW w:w="950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025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40.5</w:t>
            </w:r>
          </w:p>
        </w:tc>
        <w:tc>
          <w:tcPr>
            <w:tcW w:w="1050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10.5</w:t>
            </w:r>
          </w:p>
        </w:tc>
        <w:tc>
          <w:tcPr>
            <w:tcW w:w="1175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31.48%</w:t>
            </w:r>
          </w:p>
        </w:tc>
      </w:tr>
      <w:tr w:rsidR="00E016B4">
        <w:trPr>
          <w:trHeight w:val="90"/>
        </w:trPr>
        <w:tc>
          <w:tcPr>
            <w:tcW w:w="1007" w:type="dxa"/>
            <w:vMerge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专业必修</w:t>
            </w:r>
          </w:p>
        </w:tc>
        <w:tc>
          <w:tcPr>
            <w:tcW w:w="950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4</w:t>
            </w:r>
            <w:r w:rsidR="00911C9B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025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8" w:type="dxa"/>
            <w:shd w:val="clear" w:color="auto" w:fill="auto"/>
          </w:tcPr>
          <w:p w:rsidR="00E016B4" w:rsidRDefault="00C91977" w:rsidP="00113C10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2</w:t>
            </w:r>
            <w:r w:rsidR="00113C10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50" w:type="dxa"/>
            <w:shd w:val="clear" w:color="auto" w:fill="auto"/>
          </w:tcPr>
          <w:p w:rsidR="00E016B4" w:rsidRDefault="00113C10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175" w:type="dxa"/>
            <w:shd w:val="clear" w:color="auto" w:fill="auto"/>
          </w:tcPr>
          <w:p w:rsidR="00E016B4" w:rsidRDefault="00323507" w:rsidP="0032350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6</w:t>
            </w:r>
            <w:r w:rsidR="00C91977"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54</w:t>
            </w:r>
            <w:r w:rsidR="00C91977"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%</w:t>
            </w:r>
          </w:p>
        </w:tc>
      </w:tr>
      <w:tr w:rsidR="00E016B4">
        <w:trPr>
          <w:trHeight w:val="90"/>
        </w:trPr>
        <w:tc>
          <w:tcPr>
            <w:tcW w:w="1007" w:type="dxa"/>
            <w:vMerge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专业选修课</w:t>
            </w:r>
          </w:p>
        </w:tc>
        <w:tc>
          <w:tcPr>
            <w:tcW w:w="950" w:type="dxa"/>
            <w:shd w:val="clear" w:color="auto" w:fill="auto"/>
          </w:tcPr>
          <w:p w:rsidR="00E016B4" w:rsidRDefault="00E016B4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</w:tcPr>
          <w:p w:rsidR="00E016B4" w:rsidRDefault="00742F56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88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050" w:type="dxa"/>
            <w:shd w:val="clear" w:color="auto" w:fill="auto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--</w:t>
            </w:r>
          </w:p>
        </w:tc>
        <w:tc>
          <w:tcPr>
            <w:tcW w:w="1175" w:type="dxa"/>
            <w:shd w:val="clear" w:color="auto" w:fill="auto"/>
          </w:tcPr>
          <w:p w:rsidR="00E016B4" w:rsidRDefault="00C91977" w:rsidP="00323507">
            <w:pPr>
              <w:jc w:val="center"/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1</w:t>
            </w:r>
            <w:r w:rsidR="00323507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.</w:t>
            </w:r>
            <w:r w:rsidR="00323507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90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%</w:t>
            </w:r>
          </w:p>
        </w:tc>
      </w:tr>
      <w:tr w:rsidR="00E016B4">
        <w:trPr>
          <w:trHeight w:val="114"/>
        </w:trPr>
        <w:tc>
          <w:tcPr>
            <w:tcW w:w="2382" w:type="dxa"/>
            <w:gridSpan w:val="2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  <w:t>学分占比</w:t>
            </w:r>
          </w:p>
        </w:tc>
        <w:tc>
          <w:tcPr>
            <w:tcW w:w="950" w:type="dxa"/>
            <w:shd w:val="clear" w:color="auto" w:fill="auto"/>
          </w:tcPr>
          <w:p w:rsidR="00E016B4" w:rsidRDefault="00C91977" w:rsidP="00380CB9">
            <w:pPr>
              <w:jc w:val="center"/>
              <w:rPr>
                <w:rFonts w:ascii="宋体" w:eastAsia="宋体" w:hAnsi="宋体" w:cs="Calibri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7</w:t>
            </w:r>
            <w:r w:rsidR="00380CB9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.</w:t>
            </w:r>
            <w:r w:rsidR="00380CB9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25" w:type="dxa"/>
            <w:shd w:val="clear" w:color="auto" w:fill="auto"/>
          </w:tcPr>
          <w:p w:rsidR="00E016B4" w:rsidRDefault="00C91977" w:rsidP="00380CB9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2</w:t>
            </w:r>
            <w:r w:rsidR="00380CB9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.</w:t>
            </w:r>
            <w:r w:rsidR="00380CB9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90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988" w:type="dxa"/>
            <w:shd w:val="clear" w:color="auto" w:fill="auto"/>
          </w:tcPr>
          <w:p w:rsidR="00E016B4" w:rsidRDefault="00C91977" w:rsidP="004633B6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6</w:t>
            </w:r>
            <w:r w:rsidR="004633B6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.</w:t>
            </w:r>
            <w:r w:rsidR="004633B6"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00</w:t>
            </w: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050" w:type="dxa"/>
            <w:shd w:val="clear" w:color="auto" w:fill="auto"/>
          </w:tcPr>
          <w:p w:rsidR="00E016B4" w:rsidRDefault="004633B6" w:rsidP="004633B6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4</w:t>
            </w:r>
            <w:r w:rsidR="00C91977"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.</w:t>
            </w:r>
            <w:r>
              <w:rPr>
                <w:rFonts w:ascii="宋体" w:eastAsia="宋体" w:hAnsi="宋体" w:cs="Calibri" w:hint="eastAsia"/>
                <w:color w:val="000000" w:themeColor="text1"/>
                <w:sz w:val="18"/>
                <w:szCs w:val="18"/>
              </w:rPr>
              <w:t>00</w:t>
            </w:r>
            <w:r w:rsidR="00C91977">
              <w:rPr>
                <w:rFonts w:ascii="宋体" w:eastAsia="宋体" w:hAnsi="宋体" w:cs="Calibri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E016B4" w:rsidRDefault="00C91977">
            <w:pPr>
              <w:jc w:val="center"/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cs="Calibri"/>
                <w:bCs/>
                <w:color w:val="000000" w:themeColor="text1"/>
                <w:sz w:val="18"/>
                <w:szCs w:val="18"/>
              </w:rPr>
              <w:t>100%</w:t>
            </w:r>
          </w:p>
        </w:tc>
      </w:tr>
    </w:tbl>
    <w:p w:rsidR="00E016B4" w:rsidRDefault="00E016B4">
      <w:pPr>
        <w:ind w:left="420"/>
        <w:jc w:val="left"/>
        <w:rPr>
          <w:rFonts w:ascii="宋体" w:eastAsia="宋体" w:hAnsi="宋体" w:cs="Calibri"/>
          <w:color w:val="000000" w:themeColor="text1"/>
          <w:szCs w:val="21"/>
        </w:rPr>
      </w:pPr>
    </w:p>
    <w:p w:rsidR="00E016B4" w:rsidRDefault="00C91977">
      <w:pPr>
        <w:ind w:left="42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 w:hint="eastAsia"/>
          <w:color w:val="000000" w:themeColor="text1"/>
          <w:szCs w:val="21"/>
        </w:rPr>
        <w:t>4.2 核心课程</w:t>
      </w:r>
    </w:p>
    <w:p w:rsidR="00E016B4" w:rsidRDefault="009E0782">
      <w:pPr>
        <w:ind w:left="420" w:firstLineChars="200" w:firstLine="420"/>
        <w:jc w:val="left"/>
        <w:rPr>
          <w:rFonts w:ascii="宋体" w:eastAsia="宋体" w:hAnsi="宋体" w:cs="Calibri"/>
          <w:szCs w:val="21"/>
        </w:rPr>
      </w:pPr>
      <w:r w:rsidRPr="009E0782">
        <w:rPr>
          <w:rFonts w:ascii="宋体" w:eastAsia="宋体" w:hAnsi="宋体" w:cs="Calibri" w:hint="eastAsia"/>
          <w:szCs w:val="21"/>
        </w:rPr>
        <w:t>高等数学、线性代数、概率论与数理统计、离散数学、</w:t>
      </w:r>
      <w:r w:rsidR="005C4EA6" w:rsidRPr="009E0782">
        <w:rPr>
          <w:rFonts w:ascii="宋体" w:eastAsia="宋体" w:hAnsi="宋体" w:cs="Calibri" w:hint="eastAsia"/>
          <w:szCs w:val="21"/>
        </w:rPr>
        <w:t>大学物理及实验、</w:t>
      </w:r>
      <w:r w:rsidRPr="009E0782">
        <w:rPr>
          <w:rFonts w:ascii="宋体" w:eastAsia="宋体" w:hAnsi="宋体" w:cs="Calibri" w:hint="eastAsia"/>
          <w:szCs w:val="21"/>
        </w:rPr>
        <w:t>电子电路学及实验、离散数学、计算机科学概论、高级语言程序设计、数据结构、计算机组成与系统结构、操作系统（</w:t>
      </w:r>
      <w:r w:rsidRPr="009E0782">
        <w:rPr>
          <w:rFonts w:ascii="宋体" w:eastAsia="宋体" w:hAnsi="宋体" w:cs="Calibri"/>
          <w:szCs w:val="21"/>
        </w:rPr>
        <w:t>A）、计算机网络、算法分析与设计、面向对象程序设计、数据库原理与应用、科技英文阅读与写作、软件工程导论</w:t>
      </w:r>
      <w:r w:rsidR="006005EE" w:rsidRPr="006005EE">
        <w:rPr>
          <w:rFonts w:ascii="宋体" w:eastAsia="宋体" w:hAnsi="宋体" w:cs="Calibri" w:hint="eastAsia"/>
          <w:szCs w:val="21"/>
        </w:rPr>
        <w:t>、Web前端技术</w:t>
      </w:r>
      <w:r w:rsidRPr="009E0782">
        <w:rPr>
          <w:rFonts w:ascii="宋体" w:eastAsia="宋体" w:hAnsi="宋体" w:cs="Calibri"/>
          <w:szCs w:val="21"/>
        </w:rPr>
        <w:t>、</w:t>
      </w:r>
      <w:r w:rsidR="003B2B0C" w:rsidRPr="00677B7A">
        <w:rPr>
          <w:rFonts w:ascii="宋体" w:eastAsia="宋体" w:hAnsi="宋体" w:cs="Calibri" w:hint="eastAsia"/>
          <w:szCs w:val="21"/>
        </w:rPr>
        <w:t>软件工程专业综合实训</w:t>
      </w:r>
      <w:r w:rsidR="003B2B0C">
        <w:rPr>
          <w:rFonts w:ascii="宋体" w:eastAsia="宋体" w:hAnsi="宋体" w:cs="Calibri" w:hint="eastAsia"/>
          <w:szCs w:val="21"/>
        </w:rPr>
        <w:t>、</w:t>
      </w:r>
      <w:r w:rsidRPr="009E0782">
        <w:rPr>
          <w:rFonts w:ascii="宋体" w:eastAsia="宋体" w:hAnsi="宋体" w:cs="Calibri"/>
          <w:szCs w:val="21"/>
        </w:rPr>
        <w:t>专业实习、</w:t>
      </w:r>
      <w:r w:rsidR="003B2B0C">
        <w:rPr>
          <w:rFonts w:ascii="宋体" w:eastAsia="宋体" w:hAnsi="宋体" w:cs="Calibri"/>
          <w:szCs w:val="21"/>
        </w:rPr>
        <w:t>毕业设计</w:t>
      </w:r>
      <w:r w:rsidRPr="009E0782">
        <w:rPr>
          <w:rFonts w:ascii="宋体" w:eastAsia="宋体" w:hAnsi="宋体" w:cs="Calibri"/>
          <w:szCs w:val="21"/>
        </w:rPr>
        <w:t>。</w:t>
      </w:r>
    </w:p>
    <w:p w:rsidR="00E016B4" w:rsidRDefault="00E016B4">
      <w:pPr>
        <w:ind w:left="420" w:firstLineChars="200" w:firstLine="420"/>
        <w:jc w:val="left"/>
        <w:rPr>
          <w:rFonts w:ascii="宋体" w:eastAsia="宋体" w:hAnsi="宋体" w:cs="Calibri"/>
          <w:color w:val="000000" w:themeColor="text1"/>
          <w:szCs w:val="21"/>
        </w:rPr>
      </w:pPr>
    </w:p>
    <w:p w:rsidR="00E016B4" w:rsidRDefault="00C91977">
      <w:pPr>
        <w:ind w:left="42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 w:hint="eastAsia"/>
          <w:color w:val="000000" w:themeColor="text1"/>
          <w:szCs w:val="21"/>
        </w:rPr>
        <w:t>4.3 实践课程</w:t>
      </w:r>
    </w:p>
    <w:p w:rsidR="00E016B4" w:rsidRDefault="00C91977">
      <w:pPr>
        <w:ind w:left="420" w:firstLine="420"/>
        <w:jc w:val="left"/>
        <w:rPr>
          <w:rFonts w:ascii="宋体" w:eastAsia="宋体" w:hAnsi="宋体" w:cs="Calibri"/>
          <w:color w:val="000000" w:themeColor="text1"/>
          <w:szCs w:val="21"/>
        </w:rPr>
      </w:pPr>
      <w:r>
        <w:rPr>
          <w:rFonts w:ascii="宋体" w:eastAsia="宋体" w:hAnsi="宋体" w:cs="Calibri" w:hint="eastAsia"/>
          <w:color w:val="000000" w:themeColor="text1"/>
          <w:szCs w:val="21"/>
        </w:rPr>
        <w:t>实践环节设计能全面支撑学生的应用能力和创新能力的培养。实验实践教学包括高级语言程序设计实验、数据结构实验、</w:t>
      </w:r>
      <w:r w:rsidR="005C4EA6" w:rsidRPr="009E0782">
        <w:rPr>
          <w:rFonts w:ascii="宋体" w:eastAsia="宋体" w:hAnsi="宋体" w:cs="Calibri" w:hint="eastAsia"/>
          <w:szCs w:val="21"/>
        </w:rPr>
        <w:t>大学物理实验、</w:t>
      </w:r>
      <w:r>
        <w:rPr>
          <w:rFonts w:ascii="宋体" w:eastAsia="宋体" w:hAnsi="宋体" w:cs="Calibri" w:hint="eastAsia"/>
          <w:color w:val="000000" w:themeColor="text1"/>
          <w:szCs w:val="21"/>
        </w:rPr>
        <w:t>电子电路学实验、计算机组成原理实验、数据库原理与应用实验、计算机网络实验、</w:t>
      </w:r>
      <w:r w:rsidR="00200C2E" w:rsidRPr="00200C2E">
        <w:rPr>
          <w:rFonts w:ascii="宋体" w:eastAsia="宋体" w:hAnsi="宋体" w:cs="Calibri"/>
          <w:color w:val="000000" w:themeColor="text1"/>
          <w:szCs w:val="21"/>
        </w:rPr>
        <w:t>Web前端技术</w:t>
      </w:r>
      <w:r w:rsidR="00200C2E">
        <w:rPr>
          <w:rFonts w:ascii="宋体" w:eastAsia="宋体" w:hAnsi="宋体" w:cs="Calibri"/>
          <w:color w:val="000000" w:themeColor="text1"/>
          <w:szCs w:val="21"/>
        </w:rPr>
        <w:t>实验、</w:t>
      </w:r>
      <w:r>
        <w:rPr>
          <w:rFonts w:ascii="宋体" w:eastAsia="宋体" w:hAnsi="宋体" w:cs="Calibri" w:hint="eastAsia"/>
          <w:color w:val="000000" w:themeColor="text1"/>
          <w:szCs w:val="21"/>
        </w:rPr>
        <w:t>Linux操作系统实践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软件需求与建模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软件架构与设计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软件平台技术实践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软件测试与质量保证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数据挖掘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实验、</w:t>
      </w:r>
      <w:r w:rsidR="00D41BD8">
        <w:rPr>
          <w:rFonts w:ascii="宋体" w:eastAsia="宋体" w:hAnsi="宋体" w:cs="Calibri" w:hint="eastAsia"/>
          <w:color w:val="000000" w:themeColor="text1"/>
          <w:szCs w:val="21"/>
        </w:rPr>
        <w:t>机器学习实验、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大数据平台技术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数据采集及处理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</w:t>
      </w:r>
      <w:r>
        <w:rPr>
          <w:rFonts w:ascii="宋体" w:eastAsia="宋体" w:hAnsi="宋体" w:cs="Calibri" w:hint="eastAsia"/>
          <w:color w:val="000000" w:themeColor="text1"/>
          <w:szCs w:val="21"/>
        </w:rPr>
        <w:t>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数据可视化技术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实验、</w:t>
      </w:r>
      <w:r w:rsidR="009D52F9" w:rsidRPr="009D52F9">
        <w:rPr>
          <w:rFonts w:ascii="宋体" w:eastAsia="宋体" w:hAnsi="宋体" w:cs="Calibri" w:hint="eastAsia"/>
          <w:color w:val="000000" w:themeColor="text1"/>
          <w:szCs w:val="21"/>
        </w:rPr>
        <w:t>大数据分析实践</w:t>
      </w:r>
      <w:r w:rsidR="009D52F9">
        <w:rPr>
          <w:rFonts w:ascii="宋体" w:eastAsia="宋体" w:hAnsi="宋体" w:cs="Calibri" w:hint="eastAsia"/>
          <w:color w:val="000000" w:themeColor="text1"/>
          <w:szCs w:val="21"/>
        </w:rPr>
        <w:t>、</w:t>
      </w:r>
      <w:r>
        <w:rPr>
          <w:rFonts w:ascii="宋体" w:eastAsia="宋体" w:hAnsi="宋体" w:cs="Calibri" w:hint="eastAsia"/>
          <w:color w:val="000000" w:themeColor="text1"/>
          <w:szCs w:val="21"/>
        </w:rPr>
        <w:t>专业综合实训、毕业设计等。</w:t>
      </w:r>
    </w:p>
    <w:p w:rsidR="00E016B4" w:rsidRDefault="00C9197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师资队伍</w:t>
      </w:r>
    </w:p>
    <w:p w:rsidR="00E016B4" w:rsidRDefault="00C91977">
      <w:pPr>
        <w:ind w:left="420" w:firstLine="420"/>
        <w:jc w:val="left"/>
        <w:rPr>
          <w:rFonts w:ascii="宋体" w:eastAsia="宋体" w:hAnsi="宋体" w:cs="Calibri" w:hint="eastAsia"/>
          <w:color w:val="000000" w:themeColor="text1"/>
          <w:szCs w:val="21"/>
        </w:rPr>
      </w:pPr>
      <w:r w:rsidRPr="00A17DAB">
        <w:rPr>
          <w:rFonts w:ascii="宋体" w:eastAsia="宋体" w:hAnsi="宋体" w:cs="Calibri" w:hint="eastAsia"/>
          <w:color w:val="000000" w:themeColor="text1"/>
          <w:szCs w:val="21"/>
        </w:rPr>
        <w:t>计算机学院</w:t>
      </w:r>
      <w:r w:rsidRPr="00A17DAB">
        <w:rPr>
          <w:rFonts w:ascii="宋体" w:eastAsia="宋体" w:hAnsi="宋体" w:cs="Calibri"/>
          <w:color w:val="000000" w:themeColor="text1"/>
          <w:szCs w:val="21"/>
        </w:rPr>
        <w:t>拥有一支教学经验和实践经历丰富的教学科研队伍。现有专职教师44人，兼职教师</w:t>
      </w:r>
      <w:r w:rsidR="003567F1" w:rsidRPr="00A17DAB">
        <w:rPr>
          <w:rFonts w:ascii="宋体" w:eastAsia="宋体" w:hAnsi="宋体" w:cs="Calibri" w:hint="eastAsia"/>
          <w:color w:val="000000" w:themeColor="text1"/>
          <w:szCs w:val="21"/>
        </w:rPr>
        <w:t>及校外导师20</w:t>
      </w:r>
      <w:r w:rsidRPr="00A17DAB">
        <w:rPr>
          <w:rFonts w:ascii="宋体" w:eastAsia="宋体" w:hAnsi="宋体" w:cs="Calibri"/>
          <w:color w:val="000000" w:themeColor="text1"/>
          <w:szCs w:val="21"/>
        </w:rPr>
        <w:t>人，其中高级职称占比为30 %，具有博士学位的教师占比达到15%，94%教师具有硕士学位，具有实务经验的教师占比达到50%</w:t>
      </w:r>
      <w:r w:rsidR="00A17DAB">
        <w:rPr>
          <w:rFonts w:ascii="宋体" w:eastAsia="宋体" w:hAnsi="宋体" w:cs="Calibri"/>
          <w:color w:val="000000" w:themeColor="text1"/>
          <w:szCs w:val="21"/>
        </w:rPr>
        <w:t>以上，较好地保证了实践教学的实施</w:t>
      </w:r>
      <w:r w:rsidR="00A17DAB">
        <w:rPr>
          <w:rFonts w:ascii="宋体" w:eastAsia="宋体" w:hAnsi="宋体" w:cs="Calibri" w:hint="eastAsia"/>
          <w:color w:val="000000" w:themeColor="text1"/>
          <w:szCs w:val="21"/>
        </w:rPr>
        <w:t>。</w:t>
      </w:r>
    </w:p>
    <w:p w:rsidR="00E016B4" w:rsidRDefault="00C91977">
      <w:pPr>
        <w:pStyle w:val="a8"/>
        <w:numPr>
          <w:ilvl w:val="0"/>
          <w:numId w:val="1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lastRenderedPageBreak/>
        <w:t>教学条件</w:t>
      </w:r>
    </w:p>
    <w:p w:rsidR="006C614A" w:rsidRDefault="006C614A" w:rsidP="006C614A">
      <w:pPr>
        <w:ind w:left="420" w:firstLine="420"/>
        <w:jc w:val="left"/>
        <w:rPr>
          <w:rFonts w:ascii="宋体" w:eastAsia="宋体" w:hAnsi="宋体"/>
          <w:sz w:val="28"/>
          <w:szCs w:val="28"/>
        </w:rPr>
      </w:pPr>
      <w:bookmarkStart w:id="2" w:name="_GoBack"/>
      <w:bookmarkEnd w:id="2"/>
      <w:r>
        <w:rPr>
          <w:rFonts w:ascii="宋体" w:eastAsia="宋体" w:hAnsi="宋体" w:cs="Calibri"/>
          <w:color w:val="000000" w:themeColor="text1"/>
          <w:szCs w:val="21"/>
        </w:rPr>
        <w:t>计算机学院拥有广东省物联网应用技术及智能标签工程中心、广东省智能识别控制系统工程技术研究中心、广东省嵌入式系统设计方向应用型人才实训实习基地</w:t>
      </w:r>
      <w:r>
        <w:rPr>
          <w:rFonts w:ascii="宋体" w:eastAsia="宋体" w:hAnsi="宋体" w:cs="Calibri" w:hint="eastAsia"/>
          <w:color w:val="000000" w:themeColor="text1"/>
          <w:szCs w:val="21"/>
        </w:rPr>
        <w:t>；学校重点建设的</w:t>
      </w:r>
      <w:r>
        <w:rPr>
          <w:rFonts w:ascii="宋体" w:eastAsia="宋体" w:hAnsi="宋体" w:cs="Calibri"/>
          <w:color w:val="000000" w:themeColor="text1"/>
          <w:szCs w:val="21"/>
        </w:rPr>
        <w:t>大数据科研中心、计算技术研究院、人工智能实验室</w:t>
      </w:r>
      <w:r>
        <w:rPr>
          <w:rFonts w:ascii="宋体" w:eastAsia="宋体" w:hAnsi="宋体" w:cs="Calibri" w:hint="eastAsia"/>
          <w:color w:val="000000" w:themeColor="text1"/>
          <w:szCs w:val="21"/>
        </w:rPr>
        <w:t>和</w:t>
      </w:r>
      <w:r>
        <w:rPr>
          <w:rFonts w:ascii="宋体" w:eastAsia="宋体" w:hAnsi="宋体" w:cs="Calibri"/>
          <w:color w:val="000000" w:themeColor="text1"/>
          <w:szCs w:val="21"/>
        </w:rPr>
        <w:t>云计算服务中心</w:t>
      </w:r>
      <w:r>
        <w:rPr>
          <w:rFonts w:ascii="宋体" w:eastAsia="宋体" w:hAnsi="宋体" w:cs="Calibri" w:hint="eastAsia"/>
          <w:color w:val="000000" w:themeColor="text1"/>
          <w:szCs w:val="21"/>
        </w:rPr>
        <w:t>，此外共有</w:t>
      </w:r>
      <w:r>
        <w:rPr>
          <w:rFonts w:ascii="宋体" w:eastAsia="宋体" w:hAnsi="宋体" w:cs="Calibri"/>
          <w:color w:val="000000" w:themeColor="text1"/>
          <w:szCs w:val="21"/>
        </w:rPr>
        <w:t>32间教学型实验室，覆盖学院所有专业类别</w:t>
      </w:r>
      <w:r>
        <w:rPr>
          <w:rFonts w:ascii="宋体" w:eastAsia="宋体" w:hAnsi="宋体" w:cs="Calibri" w:hint="eastAsia"/>
          <w:color w:val="000000" w:themeColor="text1"/>
          <w:szCs w:val="21"/>
        </w:rPr>
        <w:t>；教科研平台有协作式生命周期管理（</w:t>
      </w:r>
      <w:r>
        <w:rPr>
          <w:rFonts w:ascii="宋体" w:eastAsia="宋体" w:hAnsi="宋体" w:cs="Calibri"/>
          <w:color w:val="000000" w:themeColor="text1"/>
          <w:szCs w:val="21"/>
        </w:rPr>
        <w:t>CLM）平台、人工智能平台、云计算平台、信息安全平台</w:t>
      </w:r>
      <w:r>
        <w:rPr>
          <w:rFonts w:ascii="宋体" w:eastAsia="宋体" w:hAnsi="宋体" w:cs="Calibri" w:hint="eastAsia"/>
          <w:color w:val="000000" w:themeColor="text1"/>
          <w:szCs w:val="21"/>
        </w:rPr>
        <w:t>等</w:t>
      </w:r>
      <w:r>
        <w:rPr>
          <w:rFonts w:ascii="宋体" w:eastAsia="宋体" w:hAnsi="宋体" w:cs="Calibri"/>
          <w:color w:val="000000" w:themeColor="text1"/>
          <w:szCs w:val="21"/>
        </w:rPr>
        <w:t>。</w:t>
      </w:r>
    </w:p>
    <w:p w:rsidR="006C614A" w:rsidRPr="006C614A" w:rsidRDefault="006C614A">
      <w:pPr>
        <w:ind w:left="420" w:firstLine="420"/>
        <w:jc w:val="left"/>
        <w:rPr>
          <w:rFonts w:ascii="宋体" w:eastAsia="宋体" w:hAnsi="宋体" w:hint="eastAsia"/>
          <w:sz w:val="28"/>
          <w:szCs w:val="28"/>
        </w:rPr>
      </w:pPr>
    </w:p>
    <w:sectPr w:rsidR="006C614A" w:rsidRPr="006C614A" w:rsidSect="00E01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BE" w:rsidRDefault="003563BE" w:rsidP="00847A0B">
      <w:r>
        <w:separator/>
      </w:r>
    </w:p>
  </w:endnote>
  <w:endnote w:type="continuationSeparator" w:id="0">
    <w:p w:rsidR="003563BE" w:rsidRDefault="003563BE" w:rsidP="0084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BE" w:rsidRDefault="003563BE" w:rsidP="00847A0B">
      <w:r>
        <w:separator/>
      </w:r>
    </w:p>
  </w:footnote>
  <w:footnote w:type="continuationSeparator" w:id="0">
    <w:p w:rsidR="003563BE" w:rsidRDefault="003563BE" w:rsidP="00847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04B"/>
    <w:multiLevelType w:val="multilevel"/>
    <w:tmpl w:val="18B9204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480E2A"/>
    <w:multiLevelType w:val="multilevel"/>
    <w:tmpl w:val="21480E2A"/>
    <w:lvl w:ilvl="0">
      <w:start w:val="1"/>
      <w:numFmt w:val="decimal"/>
      <w:lvlText w:val="%1)"/>
      <w:lvlJc w:val="left"/>
      <w:pPr>
        <w:ind w:left="842" w:hanging="420"/>
      </w:p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2" w15:restartNumberingAfterBreak="0">
    <w:nsid w:val="24922857"/>
    <w:multiLevelType w:val="multilevel"/>
    <w:tmpl w:val="24922857"/>
    <w:lvl w:ilvl="0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  <w:i w:val="0"/>
        <w:color w:val="auto"/>
        <w:sz w:val="21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8686B"/>
    <w:rsid w:val="00015507"/>
    <w:rsid w:val="000262DE"/>
    <w:rsid w:val="00036655"/>
    <w:rsid w:val="00113C10"/>
    <w:rsid w:val="00136705"/>
    <w:rsid w:val="001425E9"/>
    <w:rsid w:val="001D72FA"/>
    <w:rsid w:val="00200C2E"/>
    <w:rsid w:val="00223A21"/>
    <w:rsid w:val="002C6295"/>
    <w:rsid w:val="002F6262"/>
    <w:rsid w:val="00323507"/>
    <w:rsid w:val="003563BE"/>
    <w:rsid w:val="003567F1"/>
    <w:rsid w:val="00380CB9"/>
    <w:rsid w:val="003A01C2"/>
    <w:rsid w:val="003B2B0C"/>
    <w:rsid w:val="003C4117"/>
    <w:rsid w:val="003F3651"/>
    <w:rsid w:val="004163B7"/>
    <w:rsid w:val="004633B6"/>
    <w:rsid w:val="00492682"/>
    <w:rsid w:val="004B50F5"/>
    <w:rsid w:val="004C13D0"/>
    <w:rsid w:val="00512CBC"/>
    <w:rsid w:val="00512E36"/>
    <w:rsid w:val="005825A6"/>
    <w:rsid w:val="005C4EA6"/>
    <w:rsid w:val="005E381D"/>
    <w:rsid w:val="006005EE"/>
    <w:rsid w:val="006369A8"/>
    <w:rsid w:val="00677B7A"/>
    <w:rsid w:val="006C4B08"/>
    <w:rsid w:val="006C614A"/>
    <w:rsid w:val="007010A9"/>
    <w:rsid w:val="007129A5"/>
    <w:rsid w:val="00742F56"/>
    <w:rsid w:val="00796145"/>
    <w:rsid w:val="007D78D9"/>
    <w:rsid w:val="007E5F54"/>
    <w:rsid w:val="008458E3"/>
    <w:rsid w:val="00847A0B"/>
    <w:rsid w:val="0088503E"/>
    <w:rsid w:val="0088686B"/>
    <w:rsid w:val="008E5AEC"/>
    <w:rsid w:val="00911C9B"/>
    <w:rsid w:val="00952DC0"/>
    <w:rsid w:val="009D52F9"/>
    <w:rsid w:val="009E0782"/>
    <w:rsid w:val="00A11D69"/>
    <w:rsid w:val="00A16C0A"/>
    <w:rsid w:val="00A17DAB"/>
    <w:rsid w:val="00AB0234"/>
    <w:rsid w:val="00AB2E30"/>
    <w:rsid w:val="00AD3E1F"/>
    <w:rsid w:val="00B266D9"/>
    <w:rsid w:val="00B3319B"/>
    <w:rsid w:val="00B46284"/>
    <w:rsid w:val="00B95A19"/>
    <w:rsid w:val="00BB5DC6"/>
    <w:rsid w:val="00BB6DC9"/>
    <w:rsid w:val="00C73CDF"/>
    <w:rsid w:val="00C91977"/>
    <w:rsid w:val="00CB511C"/>
    <w:rsid w:val="00D12A18"/>
    <w:rsid w:val="00D41BD8"/>
    <w:rsid w:val="00D53525"/>
    <w:rsid w:val="00D663A5"/>
    <w:rsid w:val="00D834F6"/>
    <w:rsid w:val="00DA7F79"/>
    <w:rsid w:val="00DC5A80"/>
    <w:rsid w:val="00E016B4"/>
    <w:rsid w:val="00E0199E"/>
    <w:rsid w:val="00E078A6"/>
    <w:rsid w:val="00E1758D"/>
    <w:rsid w:val="00E3480A"/>
    <w:rsid w:val="00E5398B"/>
    <w:rsid w:val="00EA0202"/>
    <w:rsid w:val="00EE0D15"/>
    <w:rsid w:val="00F239C6"/>
    <w:rsid w:val="00F56A23"/>
    <w:rsid w:val="00F72E3A"/>
    <w:rsid w:val="00F90DD7"/>
    <w:rsid w:val="00FB17AA"/>
    <w:rsid w:val="073F7E8F"/>
    <w:rsid w:val="09974B5E"/>
    <w:rsid w:val="10D20DF1"/>
    <w:rsid w:val="15E11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F570"/>
  <w15:docId w15:val="{27888714-55EF-412D-82A4-D22E02A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01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1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E01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E016B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016B4"/>
    <w:rPr>
      <w:sz w:val="18"/>
      <w:szCs w:val="18"/>
    </w:rPr>
  </w:style>
  <w:style w:type="paragraph" w:styleId="a8">
    <w:name w:val="List Paragraph"/>
    <w:basedOn w:val="a"/>
    <w:uiPriority w:val="99"/>
    <w:qFormat/>
    <w:rsid w:val="00E016B4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E016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j007884</dc:creator>
  <cp:lastModifiedBy>Windows 用户</cp:lastModifiedBy>
  <cp:revision>53</cp:revision>
  <dcterms:created xsi:type="dcterms:W3CDTF">2022-01-12T02:03:00Z</dcterms:created>
  <dcterms:modified xsi:type="dcterms:W3CDTF">2022-05-06T02:26:00Z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46C83C68A4F449D6BD2BD4ADE4E48707</vt:lpwstr>
  </property>
</Properties>
</file>